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977B" w14:textId="77777777" w:rsidR="00DC7558" w:rsidRDefault="00CB7A0E">
      <w:pPr>
        <w:jc w:val="both"/>
      </w:pPr>
      <w:bookmarkStart w:id="0" w:name="_GoBack"/>
      <w:bookmarkEnd w:id="0"/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21EBA7F0" wp14:editId="68965FE4">
                <wp:simplePos x="0" y="0"/>
                <wp:positionH relativeFrom="column">
                  <wp:posOffset>-89535</wp:posOffset>
                </wp:positionH>
                <wp:positionV relativeFrom="paragraph">
                  <wp:posOffset>0</wp:posOffset>
                </wp:positionV>
                <wp:extent cx="2242185" cy="5486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18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3941" w14:textId="77777777" w:rsidR="00BC1557" w:rsidRDefault="00BC1557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State of Kansas</w:t>
                            </w:r>
                          </w:p>
                          <w:p w14:paraId="5CD04DCD" w14:textId="77777777" w:rsidR="00BC1557" w:rsidRDefault="00BC1557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Department of Administration</w:t>
                            </w:r>
                          </w:p>
                          <w:p w14:paraId="3E458D7C" w14:textId="77777777" w:rsidR="00BC1557" w:rsidRDefault="007A5E0A">
                            <w:pPr>
                              <w:pStyle w:val="Heading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Office of the Chief Financial Officer</w:t>
                            </w:r>
                          </w:p>
                          <w:p w14:paraId="0D51A9FD" w14:textId="77777777" w:rsidR="00BC1557" w:rsidRDefault="003C4AC9">
                            <w:pPr>
                              <w:jc w:val="both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DA-82</w:t>
                            </w:r>
                            <w:r w:rsidR="00BC1557">
                              <w:rPr>
                                <w:sz w:val="16"/>
                              </w:rPr>
                              <w:t xml:space="preserve"> </w:t>
                            </w:r>
                            <w:r w:rsidR="007A5E0A">
                              <w:rPr>
                                <w:sz w:val="16"/>
                              </w:rPr>
                              <w:t>(Rev. 0</w:t>
                            </w:r>
                            <w:r w:rsidR="006C5F19">
                              <w:rPr>
                                <w:sz w:val="16"/>
                              </w:rPr>
                              <w:t>6</w:t>
                            </w:r>
                            <w:r w:rsidR="00BC1557">
                              <w:rPr>
                                <w:sz w:val="16"/>
                              </w:rPr>
                              <w:t>-</w:t>
                            </w:r>
                            <w:r>
                              <w:rPr>
                                <w:sz w:val="16"/>
                              </w:rPr>
                              <w:t>20</w:t>
                            </w:r>
                            <w:r w:rsidR="00BC1557">
                              <w:rPr>
                                <w:sz w:val="16"/>
                              </w:rPr>
                              <w:t>1</w:t>
                            </w:r>
                            <w:r w:rsidR="00545EB3">
                              <w:rPr>
                                <w:sz w:val="16"/>
                              </w:rPr>
                              <w:t>7</w:t>
                            </w:r>
                            <w:r w:rsidR="00BC1557">
                              <w:rPr>
                                <w:sz w:val="16"/>
                              </w:rPr>
                              <w:t xml:space="preserve">) </w:t>
                            </w:r>
                          </w:p>
                          <w:p w14:paraId="10F2FD85" w14:textId="77777777" w:rsidR="00BC1557" w:rsidRDefault="00BC1557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EBA7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05pt;margin-top:0;width:176.55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/yeggIAAA8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" o:allowincell="f" stroked="f">
                <v:textbox>
                  <w:txbxContent>
                    <w:p w14:paraId="4CFB3941" w14:textId="77777777" w:rsidR="00BC1557" w:rsidRDefault="00BC1557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State of Kansas</w:t>
                      </w:r>
                    </w:p>
                    <w:p w14:paraId="5CD04DCD" w14:textId="77777777" w:rsidR="00BC1557" w:rsidRDefault="00BC1557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Department of Administration</w:t>
                      </w:r>
                    </w:p>
                    <w:p w14:paraId="3E458D7C" w14:textId="77777777" w:rsidR="00BC1557" w:rsidRDefault="007A5E0A">
                      <w:pPr>
                        <w:pStyle w:val="Heading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Office of the Chief Financial Officer</w:t>
                      </w:r>
                    </w:p>
                    <w:p w14:paraId="0D51A9FD" w14:textId="77777777" w:rsidR="00BC1557" w:rsidRDefault="003C4AC9">
                      <w:pPr>
                        <w:jc w:val="both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DA-82</w:t>
                      </w:r>
                      <w:r w:rsidR="00BC1557">
                        <w:rPr>
                          <w:sz w:val="16"/>
                        </w:rPr>
                        <w:t xml:space="preserve"> </w:t>
                      </w:r>
                      <w:r w:rsidR="007A5E0A">
                        <w:rPr>
                          <w:sz w:val="16"/>
                        </w:rPr>
                        <w:t>(Rev. 0</w:t>
                      </w:r>
                      <w:r w:rsidR="006C5F19">
                        <w:rPr>
                          <w:sz w:val="16"/>
                        </w:rPr>
                        <w:t>6</w:t>
                      </w:r>
                      <w:r w:rsidR="00BC1557">
                        <w:rPr>
                          <w:sz w:val="16"/>
                        </w:rPr>
                        <w:t>-</w:t>
                      </w:r>
                      <w:r>
                        <w:rPr>
                          <w:sz w:val="16"/>
                        </w:rPr>
                        <w:t>20</w:t>
                      </w:r>
                      <w:r w:rsidR="00BC1557">
                        <w:rPr>
                          <w:sz w:val="16"/>
                        </w:rPr>
                        <w:t>1</w:t>
                      </w:r>
                      <w:r w:rsidR="00545EB3">
                        <w:rPr>
                          <w:sz w:val="16"/>
                        </w:rPr>
                        <w:t>7</w:t>
                      </w:r>
                      <w:r w:rsidR="00BC1557">
                        <w:rPr>
                          <w:sz w:val="16"/>
                        </w:rPr>
                        <w:t xml:space="preserve">) </w:t>
                      </w:r>
                    </w:p>
                    <w:p w14:paraId="10F2FD85" w14:textId="77777777" w:rsidR="00BC1557" w:rsidRDefault="00BC1557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CE1A02" w14:textId="77777777" w:rsidR="00DC7558" w:rsidRDefault="00DC7558">
      <w:pPr>
        <w:jc w:val="both"/>
      </w:pPr>
    </w:p>
    <w:p w14:paraId="7AC88DC6" w14:textId="77777777" w:rsidR="00DC7558" w:rsidRDefault="00DC7558">
      <w:pPr>
        <w:jc w:val="both"/>
      </w:pPr>
    </w:p>
    <w:p w14:paraId="7AF3D6F8" w14:textId="77777777" w:rsidR="00056DFF" w:rsidRDefault="00056DFF" w:rsidP="00056DFF"/>
    <w:p w14:paraId="778AD39D" w14:textId="77777777" w:rsidR="00DC7558" w:rsidRDefault="00DC7558" w:rsidP="007874F2">
      <w:pPr>
        <w:rPr>
          <w:i/>
          <w:sz w:val="16"/>
        </w:rPr>
      </w:pPr>
      <w:r>
        <w:t>__________</w:t>
      </w:r>
      <w:r w:rsidR="007874F2">
        <w:t xml:space="preserve"> </w:t>
      </w:r>
      <w:r w:rsidR="007874F2" w:rsidRPr="00074C70">
        <w:rPr>
          <w:i/>
          <w:sz w:val="16"/>
          <w:szCs w:val="16"/>
        </w:rPr>
        <w:t>(Agency Number)</w:t>
      </w:r>
      <w:r w:rsidR="00464803">
        <w:tab/>
      </w:r>
      <w:r w:rsidR="00056DFF">
        <w:tab/>
      </w:r>
      <w:r w:rsidR="00056DFF">
        <w:tab/>
      </w:r>
      <w:r w:rsidR="007874F2">
        <w:t xml:space="preserve">    </w:t>
      </w:r>
      <w:r w:rsidR="007874F2">
        <w:tab/>
      </w:r>
      <w:r w:rsidR="007874F2">
        <w:tab/>
        <w:t xml:space="preserve">    </w:t>
      </w:r>
      <w:r w:rsidR="00464803">
        <w:t>_______________________________</w:t>
      </w:r>
      <w:r w:rsidR="007874F2">
        <w:t xml:space="preserve"> </w:t>
      </w:r>
      <w:r>
        <w:rPr>
          <w:i/>
          <w:sz w:val="16"/>
        </w:rPr>
        <w:t xml:space="preserve">(Agency Name)                               </w:t>
      </w:r>
    </w:p>
    <w:p w14:paraId="23E5210D" w14:textId="77777777" w:rsidR="00BC1557" w:rsidRDefault="00DC7558" w:rsidP="00074C70">
      <w:pPr>
        <w:tabs>
          <w:tab w:val="center" w:pos="4680"/>
        </w:tabs>
        <w:jc w:val="both"/>
      </w:pPr>
      <w:r>
        <w:tab/>
      </w:r>
    </w:p>
    <w:p w14:paraId="2831C2AC" w14:textId="77777777" w:rsidR="00BC1557" w:rsidRDefault="00BC1557" w:rsidP="00BC1557">
      <w:pPr>
        <w:jc w:val="center"/>
        <w:rPr>
          <w:b/>
          <w:bCs/>
          <w:color w:val="000000"/>
          <w:sz w:val="22"/>
          <w:szCs w:val="22"/>
        </w:rPr>
      </w:pPr>
      <w:r>
        <w:t xml:space="preserve"> </w:t>
      </w:r>
      <w:r>
        <w:rPr>
          <w:b/>
          <w:bCs/>
          <w:color w:val="000000"/>
          <w:sz w:val="22"/>
          <w:szCs w:val="22"/>
        </w:rPr>
        <w:t xml:space="preserve">CAPITAL ASSET SUPPLEMENTAL INFORMATION </w:t>
      </w:r>
    </w:p>
    <w:p w14:paraId="1805F6E3" w14:textId="77777777" w:rsidR="00074C70" w:rsidRDefault="00074C70" w:rsidP="00BC1557">
      <w:pPr>
        <w:jc w:val="center"/>
        <w:rPr>
          <w:color w:val="000000"/>
          <w:sz w:val="22"/>
          <w:szCs w:val="22"/>
        </w:rPr>
      </w:pPr>
    </w:p>
    <w:p w14:paraId="37DD10FF" w14:textId="77777777" w:rsidR="00BC1557" w:rsidRDefault="00BC1557" w:rsidP="00802D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Certification of Fixed Asset Inspection for FY 20</w:t>
      </w:r>
      <w:r w:rsidR="00074C70">
        <w:rPr>
          <w:b/>
          <w:bCs/>
          <w:sz w:val="22"/>
          <w:szCs w:val="22"/>
        </w:rPr>
        <w:t>___</w:t>
      </w:r>
    </w:p>
    <w:p w14:paraId="36E1D8C2" w14:textId="77777777" w:rsidR="005956F4" w:rsidRDefault="005956F4" w:rsidP="00802D33">
      <w:pPr>
        <w:pStyle w:val="Default"/>
        <w:rPr>
          <w:sz w:val="22"/>
          <w:szCs w:val="22"/>
        </w:rPr>
      </w:pPr>
    </w:p>
    <w:p w14:paraId="11456751" w14:textId="77777777" w:rsidR="0082372D" w:rsidRDefault="00CB7A0E" w:rsidP="00A70615">
      <w:pPr>
        <w:pStyle w:val="Default"/>
        <w:ind w:left="720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6BE98AC6" wp14:editId="797DC776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A0B6" w14:textId="77777777" w:rsidR="0082372D" w:rsidRDefault="0082372D" w:rsidP="008237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98AC6" id="Text Box 11" o:spid="_x0000_s1027" type="#_x0000_t202" style="position:absolute;left:0;text-align:left;margin-left:.45pt;margin-top:1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" o:allowincell="f">
                <v:textbox>
                  <w:txbxContent>
                    <w:p w14:paraId="4460A0B6" w14:textId="77777777" w:rsidR="0082372D" w:rsidRDefault="0082372D" w:rsidP="0082372D"/>
                  </w:txbxContent>
                </v:textbox>
              </v:shape>
            </w:pict>
          </mc:Fallback>
        </mc:AlternateContent>
      </w:r>
      <w:r w:rsidR="0082372D">
        <w:rPr>
          <w:sz w:val="22"/>
          <w:szCs w:val="22"/>
        </w:rPr>
        <w:t>In accordance with K.S.A. 75-3729, the persons taking the inventory have read and followed the instructions in the Department of Administration’s Policy Manual Filing 13,001.</w:t>
      </w:r>
    </w:p>
    <w:p w14:paraId="2E9943ED" w14:textId="77777777" w:rsidR="0082372D" w:rsidRDefault="0082372D" w:rsidP="00802D33">
      <w:pPr>
        <w:pStyle w:val="Default"/>
        <w:rPr>
          <w:sz w:val="22"/>
          <w:szCs w:val="22"/>
        </w:rPr>
      </w:pPr>
    </w:p>
    <w:p w14:paraId="48CFA919" w14:textId="77777777" w:rsidR="0082372D" w:rsidRDefault="0082372D" w:rsidP="00802D33">
      <w:pPr>
        <w:pStyle w:val="Default"/>
        <w:rPr>
          <w:sz w:val="22"/>
          <w:szCs w:val="22"/>
        </w:rPr>
      </w:pPr>
    </w:p>
    <w:p w14:paraId="6197014B" w14:textId="77777777" w:rsidR="005956F4" w:rsidRDefault="00CB7A0E" w:rsidP="00802D33">
      <w:pPr>
        <w:pStyle w:val="Default"/>
        <w:ind w:firstLine="720"/>
        <w:rPr>
          <w:sz w:val="22"/>
          <w:szCs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959EBAE" wp14:editId="39B36F1E">
                <wp:simplePos x="0" y="0"/>
                <wp:positionH relativeFrom="column">
                  <wp:posOffset>5715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86789" w14:textId="77777777" w:rsidR="00BC1557" w:rsidRDefault="00BC1557" w:rsidP="00DC75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EBAE" id="Text Box 5" o:spid="_x0000_s1028" type="#_x0000_t202" style="position:absolute;left:0;text-align:left;margin-left:.45pt;margin-top:1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" o:allowincell="f">
                <v:textbox>
                  <w:txbxContent>
                    <w:p w14:paraId="53B86789" w14:textId="77777777" w:rsidR="00BC1557" w:rsidRDefault="00BC1557" w:rsidP="00DC7558"/>
                  </w:txbxContent>
                </v:textbox>
              </v:shape>
            </w:pict>
          </mc:Fallback>
        </mc:AlternateContent>
      </w:r>
      <w:r w:rsidR="005956F4">
        <w:rPr>
          <w:sz w:val="22"/>
          <w:szCs w:val="22"/>
        </w:rPr>
        <w:t>Check here if your agency has no fixed assets with a cost greater than $5,000.</w:t>
      </w:r>
    </w:p>
    <w:p w14:paraId="79197295" w14:textId="77777777" w:rsidR="005956F4" w:rsidRDefault="005956F4" w:rsidP="00802D33">
      <w:pPr>
        <w:pStyle w:val="Default"/>
        <w:rPr>
          <w:sz w:val="22"/>
          <w:szCs w:val="22"/>
        </w:rPr>
      </w:pPr>
    </w:p>
    <w:p w14:paraId="604DC440" w14:textId="77777777" w:rsidR="00565BC1" w:rsidRDefault="00565BC1" w:rsidP="00802D33">
      <w:pPr>
        <w:pStyle w:val="Default"/>
        <w:rPr>
          <w:sz w:val="22"/>
          <w:szCs w:val="22"/>
        </w:rPr>
      </w:pPr>
    </w:p>
    <w:p w14:paraId="226EAA7C" w14:textId="77777777" w:rsidR="006A53A0" w:rsidRDefault="00CB7A0E" w:rsidP="00707840">
      <w:pPr>
        <w:pStyle w:val="Default"/>
        <w:ind w:left="72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3BAA3DF" wp14:editId="1A2D70EA">
                <wp:simplePos x="0" y="0"/>
                <wp:positionH relativeFrom="column">
                  <wp:posOffset>5715</wp:posOffset>
                </wp:positionH>
                <wp:positionV relativeFrom="paragraph">
                  <wp:posOffset>45720</wp:posOffset>
                </wp:positionV>
                <wp:extent cx="182880" cy="18288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8E9E0" w14:textId="77777777" w:rsidR="00565BC1" w:rsidRDefault="00565BC1" w:rsidP="00565B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AA3DF" id="Text Box 8" o:spid="_x0000_s1029" type="#_x0000_t202" style="position:absolute;left:0;text-align:left;margin-left:.45pt;margin-top:3.6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" o:allowincell="f">
                <v:textbox>
                  <w:txbxContent>
                    <w:p w14:paraId="26A8E9E0" w14:textId="77777777" w:rsidR="00565BC1" w:rsidRDefault="00565BC1" w:rsidP="00565BC1"/>
                  </w:txbxContent>
                </v:textbox>
              </v:shape>
            </w:pict>
          </mc:Fallback>
        </mc:AlternateContent>
      </w:r>
      <w:r w:rsidR="00565BC1">
        <w:rPr>
          <w:sz w:val="22"/>
          <w:szCs w:val="22"/>
        </w:rPr>
        <w:t>A physical</w:t>
      </w:r>
      <w:r w:rsidR="00A52F31">
        <w:rPr>
          <w:sz w:val="22"/>
          <w:szCs w:val="22"/>
        </w:rPr>
        <w:t xml:space="preserve"> (sight)</w:t>
      </w:r>
      <w:r w:rsidR="00565BC1">
        <w:rPr>
          <w:sz w:val="22"/>
          <w:szCs w:val="22"/>
        </w:rPr>
        <w:t xml:space="preserve"> inventory has been taken for all fixed and movable property belongin</w:t>
      </w:r>
      <w:r w:rsidR="006A53A0">
        <w:rPr>
          <w:sz w:val="22"/>
          <w:szCs w:val="22"/>
        </w:rPr>
        <w:t xml:space="preserve">g to the State as of </w:t>
      </w:r>
    </w:p>
    <w:p w14:paraId="0A8F2BB8" w14:textId="77777777" w:rsidR="00BF56AA" w:rsidRDefault="006A53A0" w:rsidP="0070784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June </w:t>
      </w:r>
      <w:r w:rsidR="00BF56AA">
        <w:rPr>
          <w:sz w:val="22"/>
          <w:szCs w:val="22"/>
        </w:rPr>
        <w:t>30,</w:t>
      </w:r>
      <w:r w:rsidR="00864121">
        <w:rPr>
          <w:sz w:val="22"/>
          <w:szCs w:val="22"/>
        </w:rPr>
        <w:t xml:space="preserve"> </w:t>
      </w:r>
      <w:r w:rsidR="0070498E">
        <w:rPr>
          <w:sz w:val="22"/>
          <w:szCs w:val="22"/>
        </w:rPr>
        <w:t>20____.</w:t>
      </w:r>
    </w:p>
    <w:p w14:paraId="318CEF10" w14:textId="77777777" w:rsidR="0070498E" w:rsidRDefault="0070498E" w:rsidP="00802D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6BBFBA7" w14:textId="77777777" w:rsidR="00BF56AA" w:rsidRDefault="00731D2F" w:rsidP="00802D3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56AA">
        <w:rPr>
          <w:sz w:val="22"/>
          <w:szCs w:val="22"/>
        </w:rPr>
        <w:t>________________</w:t>
      </w:r>
      <w:r w:rsidR="0070498E">
        <w:rPr>
          <w:sz w:val="22"/>
          <w:szCs w:val="22"/>
        </w:rPr>
        <w:t>____</w:t>
      </w:r>
      <w:r w:rsidR="0070498E">
        <w:rPr>
          <w:sz w:val="22"/>
          <w:szCs w:val="22"/>
        </w:rPr>
        <w:tab/>
      </w:r>
      <w:r w:rsidR="0070498E">
        <w:rPr>
          <w:sz w:val="22"/>
          <w:szCs w:val="22"/>
        </w:rPr>
        <w:tab/>
      </w:r>
      <w:r w:rsidR="00BF56AA">
        <w:rPr>
          <w:sz w:val="22"/>
          <w:szCs w:val="22"/>
        </w:rPr>
        <w:t>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14:paraId="74B1EA0A" w14:textId="77777777" w:rsidR="00BF56AA" w:rsidRDefault="00731D2F" w:rsidP="00802D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BF56AA" w:rsidRPr="00A70615">
        <w:rPr>
          <w:i/>
          <w:sz w:val="20"/>
          <w:szCs w:val="20"/>
        </w:rPr>
        <w:t>Signature of Person</w:t>
      </w:r>
      <w:r w:rsidR="00BF56AA">
        <w:rPr>
          <w:sz w:val="22"/>
          <w:szCs w:val="22"/>
        </w:rPr>
        <w:t xml:space="preserve"> </w:t>
      </w:r>
      <w:r w:rsidR="00BF56AA">
        <w:rPr>
          <w:sz w:val="22"/>
          <w:szCs w:val="22"/>
        </w:rPr>
        <w:tab/>
      </w:r>
      <w:r w:rsidR="00BF56AA">
        <w:rPr>
          <w:sz w:val="22"/>
          <w:szCs w:val="22"/>
        </w:rPr>
        <w:tab/>
      </w:r>
      <w:r w:rsidR="00BF56AA">
        <w:rPr>
          <w:sz w:val="22"/>
          <w:szCs w:val="22"/>
        </w:rPr>
        <w:tab/>
      </w:r>
      <w:r w:rsidRPr="00A70615">
        <w:rPr>
          <w:i/>
          <w:sz w:val="20"/>
          <w:szCs w:val="20"/>
        </w:rPr>
        <w:t>Title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70615">
        <w:rPr>
          <w:i/>
          <w:sz w:val="20"/>
          <w:szCs w:val="20"/>
        </w:rPr>
        <w:t>Completion date</w:t>
      </w:r>
    </w:p>
    <w:p w14:paraId="686C808F" w14:textId="77777777" w:rsidR="00B034CE" w:rsidRDefault="00B034CE" w:rsidP="00802D33">
      <w:pPr>
        <w:pStyle w:val="Default"/>
        <w:rPr>
          <w:sz w:val="22"/>
          <w:szCs w:val="22"/>
        </w:rPr>
      </w:pPr>
    </w:p>
    <w:p w14:paraId="258CE2C4" w14:textId="77777777" w:rsidR="00502736" w:rsidRDefault="00502736" w:rsidP="00802D3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If</w:t>
      </w:r>
      <w:r w:rsidR="00802D33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physical inventory has not been taken for all fixed and movable property as of June 30, 20____, please provide the reason below.</w:t>
      </w:r>
    </w:p>
    <w:p w14:paraId="28E43380" w14:textId="77777777" w:rsidR="00751B5C" w:rsidRDefault="00751B5C" w:rsidP="00802D33">
      <w:pPr>
        <w:pStyle w:val="Default"/>
        <w:ind w:firstLine="720"/>
        <w:rPr>
          <w:sz w:val="22"/>
          <w:szCs w:val="22"/>
        </w:rPr>
      </w:pPr>
    </w:p>
    <w:p w14:paraId="5598751D" w14:textId="77777777" w:rsidR="00502736" w:rsidRDefault="00502736" w:rsidP="00802D33">
      <w:pPr>
        <w:pStyle w:val="Default"/>
        <w:ind w:firstLine="720"/>
        <w:rPr>
          <w:sz w:val="22"/>
          <w:szCs w:val="22"/>
        </w:rPr>
      </w:pPr>
      <w:r>
        <w:rPr>
          <w:sz w:val="22"/>
          <w:szCs w:val="22"/>
        </w:rPr>
        <w:t>Reason:</w:t>
      </w:r>
    </w:p>
    <w:p w14:paraId="54D1BB8A" w14:textId="77777777" w:rsidR="00502736" w:rsidRDefault="00502736" w:rsidP="00802D33">
      <w:pPr>
        <w:pStyle w:val="Default"/>
        <w:rPr>
          <w:sz w:val="22"/>
          <w:szCs w:val="22"/>
        </w:rPr>
      </w:pPr>
    </w:p>
    <w:p w14:paraId="0D148D74" w14:textId="77777777" w:rsidR="00502736" w:rsidRDefault="00502736" w:rsidP="00802D33">
      <w:pPr>
        <w:pStyle w:val="Default"/>
        <w:rPr>
          <w:sz w:val="22"/>
          <w:szCs w:val="22"/>
        </w:rPr>
      </w:pPr>
    </w:p>
    <w:p w14:paraId="68835954" w14:textId="77777777" w:rsidR="00502736" w:rsidRDefault="00502736" w:rsidP="00802D33">
      <w:pPr>
        <w:pStyle w:val="Default"/>
        <w:rPr>
          <w:sz w:val="22"/>
          <w:szCs w:val="22"/>
        </w:rPr>
      </w:pPr>
    </w:p>
    <w:p w14:paraId="1206E294" w14:textId="77777777" w:rsidR="00502736" w:rsidRDefault="00502736" w:rsidP="00802D33">
      <w:pPr>
        <w:pStyle w:val="Default"/>
        <w:rPr>
          <w:sz w:val="22"/>
          <w:szCs w:val="22"/>
        </w:rPr>
      </w:pPr>
    </w:p>
    <w:p w14:paraId="2D2F134B" w14:textId="77777777" w:rsidR="00502736" w:rsidRDefault="00502736" w:rsidP="00802D33">
      <w:pPr>
        <w:pStyle w:val="Default"/>
        <w:rPr>
          <w:sz w:val="22"/>
          <w:szCs w:val="22"/>
        </w:rPr>
      </w:pPr>
    </w:p>
    <w:p w14:paraId="020401B0" w14:textId="77777777" w:rsidR="00B034CE" w:rsidRDefault="00CB7A0E" w:rsidP="00802D3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C517EBF" wp14:editId="3D785900">
                <wp:simplePos x="0" y="0"/>
                <wp:positionH relativeFrom="column">
                  <wp:posOffset>-24765</wp:posOffset>
                </wp:positionH>
                <wp:positionV relativeFrom="paragraph">
                  <wp:posOffset>144780</wp:posOffset>
                </wp:positionV>
                <wp:extent cx="182880" cy="18288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773D4" w14:textId="77777777" w:rsidR="00B034CE" w:rsidRDefault="00B034CE" w:rsidP="00B034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17EBF" id="Text Box 10" o:spid="_x0000_s1030" type="#_x0000_t202" style="position:absolute;margin-left:-1.95pt;margin-top:11.4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" o:allowincell="f">
                <v:textbox>
                  <w:txbxContent>
                    <w:p w14:paraId="42B773D4" w14:textId="77777777" w:rsidR="00B034CE" w:rsidRDefault="00B034CE" w:rsidP="00B034CE"/>
                  </w:txbxContent>
                </v:textbox>
              </v:shape>
            </w:pict>
          </mc:Fallback>
        </mc:AlternateContent>
      </w:r>
    </w:p>
    <w:p w14:paraId="6EC15D74" w14:textId="77777777" w:rsidR="00B034CE" w:rsidRDefault="00751B5C" w:rsidP="00802D33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Have</w:t>
      </w:r>
      <w:r w:rsidR="00B034CE">
        <w:rPr>
          <w:sz w:val="22"/>
          <w:szCs w:val="22"/>
        </w:rPr>
        <w:t xml:space="preserve"> all</w:t>
      </w:r>
      <w:r>
        <w:rPr>
          <w:sz w:val="22"/>
          <w:szCs w:val="22"/>
        </w:rPr>
        <w:t xml:space="preserve"> of your</w:t>
      </w:r>
      <w:r w:rsidR="00B034CE">
        <w:rPr>
          <w:sz w:val="22"/>
          <w:szCs w:val="22"/>
        </w:rPr>
        <w:t xml:space="preserve"> capitalized asset</w:t>
      </w:r>
      <w:r>
        <w:rPr>
          <w:sz w:val="22"/>
          <w:szCs w:val="22"/>
        </w:rPr>
        <w:t xml:space="preserve">s (as of June </w:t>
      </w:r>
      <w:r w:rsidR="009D4F38">
        <w:rPr>
          <w:sz w:val="22"/>
          <w:szCs w:val="22"/>
        </w:rPr>
        <w:t xml:space="preserve">30) </w:t>
      </w:r>
      <w:r w:rsidR="00A52F31">
        <w:rPr>
          <w:sz w:val="22"/>
          <w:szCs w:val="22"/>
        </w:rPr>
        <w:t>b</w:t>
      </w:r>
      <w:r>
        <w:rPr>
          <w:sz w:val="22"/>
          <w:szCs w:val="22"/>
        </w:rPr>
        <w:t xml:space="preserve">een entered in </w:t>
      </w:r>
      <w:r w:rsidR="0082372D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SMART Asset </w:t>
      </w:r>
      <w:r w:rsidR="0082372D">
        <w:rPr>
          <w:sz w:val="22"/>
          <w:szCs w:val="22"/>
        </w:rPr>
        <w:t xml:space="preserve">Management </w:t>
      </w:r>
      <w:r>
        <w:rPr>
          <w:sz w:val="22"/>
          <w:szCs w:val="22"/>
        </w:rPr>
        <w:t>Module?  If not, attach list of missing item(s) and explanations.</w:t>
      </w:r>
      <w:r>
        <w:rPr>
          <w:sz w:val="22"/>
          <w:szCs w:val="22"/>
        </w:rPr>
        <w:tab/>
      </w:r>
    </w:p>
    <w:p w14:paraId="0B2B24E8" w14:textId="77777777" w:rsidR="00751B5C" w:rsidRDefault="00751B5C" w:rsidP="00802D33">
      <w:pPr>
        <w:pStyle w:val="Default"/>
        <w:rPr>
          <w:sz w:val="22"/>
          <w:szCs w:val="22"/>
        </w:rPr>
      </w:pPr>
    </w:p>
    <w:p w14:paraId="113382C5" w14:textId="77777777" w:rsidR="00074C70" w:rsidRDefault="00074C70" w:rsidP="00802D33">
      <w:pPr>
        <w:pStyle w:val="Default"/>
        <w:rPr>
          <w:sz w:val="22"/>
          <w:szCs w:val="22"/>
        </w:rPr>
      </w:pPr>
    </w:p>
    <w:p w14:paraId="002C72AC" w14:textId="77777777" w:rsidR="00BC1557" w:rsidRDefault="00BC1557" w:rsidP="00802D33">
      <w:pPr>
        <w:pStyle w:val="Default"/>
        <w:ind w:firstLine="720"/>
        <w:rPr>
          <w:sz w:val="22"/>
          <w:szCs w:val="22"/>
        </w:rPr>
      </w:pPr>
    </w:p>
    <w:p w14:paraId="4437DF51" w14:textId="77777777" w:rsidR="00BC1557" w:rsidRDefault="00BC1557" w:rsidP="00802D33">
      <w:pPr>
        <w:pStyle w:val="Default"/>
        <w:rPr>
          <w:sz w:val="22"/>
          <w:szCs w:val="22"/>
        </w:rPr>
      </w:pPr>
    </w:p>
    <w:p w14:paraId="2E7EEE0F" w14:textId="77777777" w:rsidR="00BC1557" w:rsidRDefault="00BC1557" w:rsidP="00802D33">
      <w:pPr>
        <w:ind w:left="57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 </w:t>
      </w:r>
    </w:p>
    <w:p w14:paraId="567F9030" w14:textId="77777777" w:rsidR="00074C70" w:rsidRDefault="00731D2F" w:rsidP="00802D33">
      <w:pPr>
        <w:pStyle w:val="Default"/>
        <w:ind w:left="5040" w:firstLine="7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Agency Head </w:t>
      </w:r>
      <w:r w:rsidR="00BC1557">
        <w:rPr>
          <w:i/>
          <w:iCs/>
          <w:sz w:val="16"/>
          <w:szCs w:val="16"/>
        </w:rPr>
        <w:t xml:space="preserve">Signature </w:t>
      </w:r>
      <w:r w:rsidR="00074C70">
        <w:rPr>
          <w:i/>
          <w:iCs/>
          <w:sz w:val="16"/>
          <w:szCs w:val="16"/>
        </w:rPr>
        <w:t xml:space="preserve">    </w:t>
      </w:r>
    </w:p>
    <w:p w14:paraId="76CB5A00" w14:textId="77777777" w:rsidR="00731D2F" w:rsidRDefault="00731D2F" w:rsidP="00802D33">
      <w:pPr>
        <w:pStyle w:val="Default"/>
        <w:ind w:left="5040" w:firstLine="720"/>
        <w:rPr>
          <w:sz w:val="22"/>
          <w:szCs w:val="22"/>
        </w:rPr>
      </w:pPr>
    </w:p>
    <w:p w14:paraId="7248A6A9" w14:textId="77777777" w:rsidR="00BC1557" w:rsidRDefault="00BC1557" w:rsidP="00802D33">
      <w:pPr>
        <w:pStyle w:val="Default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 </w:t>
      </w:r>
    </w:p>
    <w:p w14:paraId="682E9A8D" w14:textId="77777777" w:rsidR="00BC1557" w:rsidRPr="00074C70" w:rsidRDefault="00074C70" w:rsidP="00802D33">
      <w:pPr>
        <w:pStyle w:val="Heading2"/>
        <w:ind w:left="2160" w:firstLine="3600"/>
        <w:jc w:val="left"/>
        <w:rPr>
          <w:color w:val="000000"/>
          <w:szCs w:val="16"/>
        </w:rPr>
      </w:pPr>
      <w:r w:rsidRPr="00074C70">
        <w:rPr>
          <w:iCs/>
          <w:color w:val="000000"/>
          <w:szCs w:val="16"/>
        </w:rPr>
        <w:tab/>
      </w:r>
      <w:r w:rsidRPr="00074C70">
        <w:rPr>
          <w:iCs/>
          <w:color w:val="000000"/>
          <w:szCs w:val="16"/>
        </w:rPr>
        <w:tab/>
      </w:r>
      <w:r w:rsidRPr="00074C70">
        <w:rPr>
          <w:iCs/>
          <w:color w:val="000000"/>
          <w:szCs w:val="16"/>
        </w:rPr>
        <w:tab/>
      </w:r>
      <w:r w:rsidR="00BC1557" w:rsidRPr="00074C70">
        <w:rPr>
          <w:iCs/>
          <w:color w:val="000000"/>
          <w:szCs w:val="16"/>
        </w:rPr>
        <w:t xml:space="preserve">Title </w:t>
      </w:r>
    </w:p>
    <w:p w14:paraId="5EEC087C" w14:textId="77777777" w:rsidR="00074C70" w:rsidRDefault="00074C70" w:rsidP="00802D33">
      <w:pPr>
        <w:pStyle w:val="Default"/>
        <w:ind w:left="5040" w:firstLine="720"/>
        <w:rPr>
          <w:sz w:val="22"/>
          <w:szCs w:val="22"/>
        </w:rPr>
      </w:pPr>
    </w:p>
    <w:p w14:paraId="200E6127" w14:textId="77777777" w:rsidR="00BC1557" w:rsidRDefault="00074C70" w:rsidP="00802D33">
      <w:pPr>
        <w:pStyle w:val="Default"/>
        <w:ind w:left="5040" w:firstLine="720"/>
        <w:rPr>
          <w:sz w:val="22"/>
          <w:szCs w:val="22"/>
        </w:rPr>
      </w:pPr>
      <w:r>
        <w:rPr>
          <w:sz w:val="22"/>
          <w:szCs w:val="22"/>
        </w:rPr>
        <w:t>__</w:t>
      </w:r>
      <w:r w:rsidR="00BC1557">
        <w:rPr>
          <w:sz w:val="22"/>
          <w:szCs w:val="22"/>
        </w:rPr>
        <w:t xml:space="preserve">_________________________________________ </w:t>
      </w:r>
    </w:p>
    <w:p w14:paraId="62B1E26B" w14:textId="77777777" w:rsidR="00BC1557" w:rsidRPr="00074C70" w:rsidRDefault="00BC1557" w:rsidP="00802D33">
      <w:pPr>
        <w:pStyle w:val="Heading2"/>
        <w:ind w:left="3600"/>
        <w:jc w:val="left"/>
        <w:rPr>
          <w:color w:val="000000"/>
          <w:szCs w:val="16"/>
        </w:rPr>
      </w:pPr>
      <w:r w:rsidRPr="00074C70">
        <w:rPr>
          <w:iCs/>
          <w:color w:val="000000"/>
          <w:szCs w:val="16"/>
        </w:rPr>
        <w:t xml:space="preserve">Date </w:t>
      </w:r>
    </w:p>
    <w:p w14:paraId="5D480720" w14:textId="77777777" w:rsidR="00BC1557" w:rsidRDefault="00BC1557" w:rsidP="00802D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Commodities </w:t>
      </w:r>
    </w:p>
    <w:p w14:paraId="2F4631D0" w14:textId="77777777" w:rsidR="00BC1557" w:rsidRDefault="00BC1557" w:rsidP="00802D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Commodities are defined as supplies and materials, including consumable supplies, and materials or parts purchased for repair and maintenance performed by state personnel. </w:t>
      </w:r>
      <w:r w:rsidR="0082372D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the Comprehensive Annual Financial Report (CAFR), agencies will only report their commodity balance if greater than $200,000. </w:t>
      </w:r>
      <w:r w:rsidR="0082372D">
        <w:rPr>
          <w:sz w:val="22"/>
          <w:szCs w:val="22"/>
        </w:rPr>
        <w:t>Please provide the fund or funds used to purchase the commodity balance reported.</w:t>
      </w:r>
    </w:p>
    <w:p w14:paraId="32F1D493" w14:textId="77777777" w:rsidR="00074C70" w:rsidRDefault="00074C70" w:rsidP="00802D33">
      <w:pPr>
        <w:pStyle w:val="Default"/>
        <w:rPr>
          <w:sz w:val="22"/>
          <w:szCs w:val="22"/>
        </w:rPr>
      </w:pPr>
    </w:p>
    <w:p w14:paraId="0274E758" w14:textId="77777777" w:rsidR="00BC1557" w:rsidRDefault="00BC1557" w:rsidP="00802D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Commodity balance at June 30, 20</w:t>
      </w:r>
      <w:r w:rsidR="00DE53C4">
        <w:rPr>
          <w:sz w:val="22"/>
          <w:szCs w:val="22"/>
        </w:rPr>
        <w:t>___</w:t>
      </w:r>
      <w:r>
        <w:rPr>
          <w:sz w:val="22"/>
          <w:szCs w:val="22"/>
        </w:rPr>
        <w:t xml:space="preserve">: $__________________________________ </w:t>
      </w:r>
    </w:p>
    <w:p w14:paraId="59DBC993" w14:textId="77777777" w:rsidR="00BC1557" w:rsidRDefault="00BC1557" w:rsidP="00802D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Fund(s)</w:t>
      </w:r>
      <w:r w:rsidR="00074C7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 __________________________________________________________</w:t>
      </w:r>
      <w:r w:rsidR="00DE53C4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14:paraId="5FD0E57E" w14:textId="77777777" w:rsidR="00074C70" w:rsidRDefault="00074C70" w:rsidP="00802D33">
      <w:pPr>
        <w:pStyle w:val="Default"/>
        <w:rPr>
          <w:sz w:val="22"/>
          <w:szCs w:val="22"/>
        </w:rPr>
      </w:pPr>
    </w:p>
    <w:p w14:paraId="6C01027D" w14:textId="77777777" w:rsidR="00074C70" w:rsidRDefault="00074C70" w:rsidP="00802D33">
      <w:pPr>
        <w:pStyle w:val="Default"/>
        <w:rPr>
          <w:sz w:val="22"/>
          <w:szCs w:val="22"/>
        </w:rPr>
      </w:pPr>
    </w:p>
    <w:p w14:paraId="7DC96EF1" w14:textId="77777777" w:rsidR="00BC1557" w:rsidRDefault="00BC1557" w:rsidP="00802D3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Asset Abandonment and Impairment </w:t>
      </w:r>
    </w:p>
    <w:p w14:paraId="33B2055E" w14:textId="77777777" w:rsidR="00BC1557" w:rsidRDefault="00BC1557" w:rsidP="00802D33">
      <w:pPr>
        <w:pStyle w:val="BodyTex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Asset impairment is a significant, unexpected decline in the service utility of a capital asset. Asset abandonment and impairment will only be reported in the CAFR if the amount is greater than $500,000. Common indicators of impairment include: </w:t>
      </w:r>
    </w:p>
    <w:p w14:paraId="4F84BDB1" w14:textId="77777777" w:rsidR="00074C70" w:rsidRPr="00074C70" w:rsidRDefault="00074C70" w:rsidP="00802D33">
      <w:pPr>
        <w:pStyle w:val="Default"/>
      </w:pPr>
    </w:p>
    <w:p w14:paraId="326E0146" w14:textId="77777777" w:rsidR="00BC1557" w:rsidRDefault="00BC1557" w:rsidP="00802D33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Physical damage </w:t>
      </w:r>
    </w:p>
    <w:p w14:paraId="4133A954" w14:textId="77777777" w:rsidR="00BC1557" w:rsidRDefault="00BC1557" w:rsidP="00802D33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Change in laws, regulations or other environmental factors </w:t>
      </w:r>
    </w:p>
    <w:p w14:paraId="75F3DF9E" w14:textId="77777777" w:rsidR="00BC1557" w:rsidRDefault="00BC1557" w:rsidP="00802D33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Technological development or evidence of obsolescence of an asset </w:t>
      </w:r>
    </w:p>
    <w:p w14:paraId="27D6A404" w14:textId="77777777" w:rsidR="00BC1557" w:rsidRDefault="00BC1557" w:rsidP="00802D33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Change in the manner or duration of use of an asset </w:t>
      </w:r>
    </w:p>
    <w:p w14:paraId="705EEB6B" w14:textId="77777777" w:rsidR="00BC1557" w:rsidRDefault="00BC1557" w:rsidP="00802D33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Construction stoppage </w:t>
      </w:r>
    </w:p>
    <w:p w14:paraId="047A4A08" w14:textId="77777777" w:rsidR="00BC1557" w:rsidRDefault="00BC1557" w:rsidP="00802D33">
      <w:pPr>
        <w:pStyle w:val="Default"/>
        <w:numPr>
          <w:ilvl w:val="0"/>
          <w:numId w:val="2"/>
        </w:num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Stoppage of development (for internally generated intangible assets) </w:t>
      </w:r>
    </w:p>
    <w:p w14:paraId="6276C695" w14:textId="77777777" w:rsidR="00BC1557" w:rsidRDefault="00BC1557" w:rsidP="00802D33">
      <w:pPr>
        <w:pStyle w:val="Default"/>
        <w:rPr>
          <w:sz w:val="22"/>
          <w:szCs w:val="22"/>
        </w:rPr>
      </w:pPr>
    </w:p>
    <w:p w14:paraId="01AD2C62" w14:textId="77777777" w:rsidR="00BC1557" w:rsidRDefault="00BC1557" w:rsidP="00802D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Assets that have naturally lost service capacity with age and use are foreseeable changes that do not constitute impairment. If an agency has an asset abandonment or impairment, they should </w:t>
      </w:r>
      <w:r w:rsidRPr="00A70615">
        <w:rPr>
          <w:sz w:val="22"/>
          <w:szCs w:val="22"/>
          <w:u w:val="single"/>
        </w:rPr>
        <w:t>provide the property description, original use and purpose, location, condition, original cost, any insurance recovery and market value as an attachment</w:t>
      </w:r>
      <w:r>
        <w:rPr>
          <w:sz w:val="22"/>
          <w:szCs w:val="22"/>
        </w:rPr>
        <w:t xml:space="preserve">. Additional information regarding asset abandonment and impairment can be found in Governmental Accounting Standards Board Statement 42 or by contacting the Financial Integrity Team. </w:t>
      </w:r>
    </w:p>
    <w:p w14:paraId="6B8C4E71" w14:textId="77777777" w:rsidR="00074C70" w:rsidRDefault="00074C70" w:rsidP="00802D33">
      <w:pPr>
        <w:pStyle w:val="Default"/>
        <w:rPr>
          <w:sz w:val="22"/>
          <w:szCs w:val="22"/>
        </w:rPr>
      </w:pPr>
    </w:p>
    <w:p w14:paraId="00AA30A8" w14:textId="77777777" w:rsidR="00BC1557" w:rsidRDefault="00BC1557" w:rsidP="00802D3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Amount of asset abandonment and/or impairment: $______________________________ </w:t>
      </w:r>
    </w:p>
    <w:p w14:paraId="1C193AEE" w14:textId="77777777" w:rsidR="00BC1557" w:rsidRDefault="00BC1557" w:rsidP="00802D33">
      <w:pPr>
        <w:pStyle w:val="Default"/>
        <w:rPr>
          <w:sz w:val="22"/>
          <w:szCs w:val="22"/>
        </w:rPr>
      </w:pPr>
    </w:p>
    <w:p w14:paraId="0EF68226" w14:textId="77777777" w:rsidR="00DC7558" w:rsidRDefault="00DC7558" w:rsidP="00802D33"/>
    <w:sectPr w:rsidR="00DC7558" w:rsidSect="00BC1557">
      <w:endnotePr>
        <w:numFmt w:val="decimal"/>
      </w:endnotePr>
      <w:pgSz w:w="12240" w:h="15840"/>
      <w:pgMar w:top="720" w:right="720" w:bottom="720" w:left="720" w:header="1440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98DAE"/>
    <w:multiLevelType w:val="hybridMultilevel"/>
    <w:tmpl w:val="9F69F0F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F643EE4"/>
    <w:multiLevelType w:val="hybridMultilevel"/>
    <w:tmpl w:val="A45B546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220"/>
    <w:rsid w:val="00012EA9"/>
    <w:rsid w:val="00056DFF"/>
    <w:rsid w:val="00074C70"/>
    <w:rsid w:val="000A6134"/>
    <w:rsid w:val="000D4255"/>
    <w:rsid w:val="000E778C"/>
    <w:rsid w:val="00107E81"/>
    <w:rsid w:val="00187422"/>
    <w:rsid w:val="001E66C0"/>
    <w:rsid w:val="002301A9"/>
    <w:rsid w:val="00376D2E"/>
    <w:rsid w:val="0038758B"/>
    <w:rsid w:val="003B51C9"/>
    <w:rsid w:val="003C4AC9"/>
    <w:rsid w:val="00450F03"/>
    <w:rsid w:val="00464803"/>
    <w:rsid w:val="004911ED"/>
    <w:rsid w:val="004B64D9"/>
    <w:rsid w:val="00502736"/>
    <w:rsid w:val="00545EB3"/>
    <w:rsid w:val="00552A7B"/>
    <w:rsid w:val="00565BC1"/>
    <w:rsid w:val="005956F4"/>
    <w:rsid w:val="005B43C9"/>
    <w:rsid w:val="006A53A0"/>
    <w:rsid w:val="006C5F19"/>
    <w:rsid w:val="006E46C9"/>
    <w:rsid w:val="0070498E"/>
    <w:rsid w:val="00707840"/>
    <w:rsid w:val="00731D2F"/>
    <w:rsid w:val="00732CDF"/>
    <w:rsid w:val="00751B5C"/>
    <w:rsid w:val="007874F2"/>
    <w:rsid w:val="007A5E0A"/>
    <w:rsid w:val="007C6E8C"/>
    <w:rsid w:val="00802D33"/>
    <w:rsid w:val="0082372D"/>
    <w:rsid w:val="00864121"/>
    <w:rsid w:val="008712FA"/>
    <w:rsid w:val="008B0269"/>
    <w:rsid w:val="009D4F38"/>
    <w:rsid w:val="00A52F31"/>
    <w:rsid w:val="00A70615"/>
    <w:rsid w:val="00B034CE"/>
    <w:rsid w:val="00B60DAE"/>
    <w:rsid w:val="00B668A4"/>
    <w:rsid w:val="00B7511D"/>
    <w:rsid w:val="00B87AC7"/>
    <w:rsid w:val="00BB34F9"/>
    <w:rsid w:val="00BC1557"/>
    <w:rsid w:val="00BC20FC"/>
    <w:rsid w:val="00BF56AA"/>
    <w:rsid w:val="00C0062E"/>
    <w:rsid w:val="00C3044D"/>
    <w:rsid w:val="00C35743"/>
    <w:rsid w:val="00C964C7"/>
    <w:rsid w:val="00CB7A0E"/>
    <w:rsid w:val="00CD5412"/>
    <w:rsid w:val="00D35E4E"/>
    <w:rsid w:val="00D67220"/>
    <w:rsid w:val="00DC7558"/>
    <w:rsid w:val="00DE53C4"/>
    <w:rsid w:val="00E074D9"/>
    <w:rsid w:val="00E60695"/>
    <w:rsid w:val="00FB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|"/>
  <w14:docId w14:val="66F19684"/>
  <w15:docId w15:val="{D7CFC799-A26C-42D3-807C-C43CC4A6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firstLine="4320"/>
      <w:jc w:val="both"/>
      <w:outlineLvl w:val="1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Default">
    <w:name w:val="Default"/>
    <w:rsid w:val="00787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odyText">
    <w:name w:val="Body Text"/>
    <w:basedOn w:val="Default"/>
    <w:next w:val="Default"/>
    <w:link w:val="BodyTextChar"/>
    <w:uiPriority w:val="99"/>
    <w:rsid w:val="007874F2"/>
    <w:rPr>
      <w:color w:val="auto"/>
    </w:rPr>
  </w:style>
  <w:style w:type="character" w:customStyle="1" w:styleId="BodyTextChar">
    <w:name w:val="Body Text Char"/>
    <w:link w:val="BodyText"/>
    <w:uiPriority w:val="99"/>
    <w:rsid w:val="007874F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372D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DA-82 - Certification of Fixed Asset Inspection</vt:lpstr>
    </vt:vector>
  </TitlesOfParts>
  <Company>State of Kansas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DA-82 - Certification of Fixed Asset Inspection</dc:title>
  <dc:creator>Gary Bond</dc:creator>
  <cp:lastModifiedBy>Entress, Amanda [DASM]</cp:lastModifiedBy>
  <cp:revision>2</cp:revision>
  <cp:lastPrinted>2017-03-29T16:34:00Z</cp:lastPrinted>
  <dcterms:created xsi:type="dcterms:W3CDTF">2018-04-11T15:06:00Z</dcterms:created>
  <dcterms:modified xsi:type="dcterms:W3CDTF">2018-04-11T15:06:00Z</dcterms:modified>
</cp:coreProperties>
</file>